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AE" w:rsidRDefault="00B403DE" w:rsidP="00B403DE">
      <w:pPr>
        <w:pStyle w:val="a3"/>
        <w:numPr>
          <w:ilvl w:val="0"/>
          <w:numId w:val="2"/>
        </w:numPr>
        <w:jc w:val="center"/>
        <w:rPr>
          <w:rFonts w:ascii="Times New Roman" w:hAnsi="Times New Roman" w:cs="Times New Roman"/>
          <w:b/>
          <w:sz w:val="24"/>
          <w:szCs w:val="24"/>
        </w:rPr>
      </w:pPr>
      <w:bookmarkStart w:id="0" w:name="_GoBack"/>
      <w:bookmarkEnd w:id="0"/>
      <w:r w:rsidRPr="00B403DE">
        <w:rPr>
          <w:rFonts w:ascii="Times New Roman" w:hAnsi="Times New Roman" w:cs="Times New Roman"/>
          <w:b/>
          <w:sz w:val="24"/>
          <w:szCs w:val="24"/>
        </w:rPr>
        <w:t>Преддоговорная работа</w:t>
      </w:r>
    </w:p>
    <w:p w:rsidR="00B403DE" w:rsidRDefault="00B403DE" w:rsidP="00B403DE">
      <w:pPr>
        <w:pStyle w:val="a3"/>
        <w:jc w:val="center"/>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Semi Bold" w:eastAsia="Times New Roman" w:hAnsi="Exo 2 Semi Bold" w:cs="Times New Roman"/>
          <w:color w:val="333333"/>
          <w:sz w:val="23"/>
          <w:szCs w:val="23"/>
          <w:lang w:eastAsia="ru-RU"/>
        </w:rPr>
        <w:t>1. Подача заявки на технологическое присоединение, заполненной по установленной форме с предоставлением полного пакета документов.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индивидуальному проекту.</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подается в сетевую организацию указанным некоммерческим объединением либо его представителем. 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w:t>
      </w:r>
      <w:r w:rsidRPr="00B403DE">
        <w:rPr>
          <w:rFonts w:ascii="Exo 2 Light" w:eastAsia="Times New Roman" w:hAnsi="Exo 2 Light" w:cs="Times New Roman"/>
          <w:color w:val="333333"/>
          <w:sz w:val="23"/>
          <w:szCs w:val="23"/>
          <w:lang w:eastAsia="ru-RU"/>
        </w:rPr>
        <w:lastRenderedPageBreak/>
        <w:t>или с использованием объектов инфраструктуры и другого имущества общего пользования этого объединения.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если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Заявку на технологическое присоединение можно подать на портале дистанционного обслуживания потребителей.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заявке, направляемой заявителем, должны быть указаны следующие сведения: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lang w:eastAsia="ru-RU"/>
        </w:rPr>
        <w:t xml:space="preserve">Для физических лиц, с запрашиваемой максимальной мощностью </w:t>
      </w:r>
      <w:proofErr w:type="spellStart"/>
      <w:r w:rsidRPr="00B403DE">
        <w:rPr>
          <w:rFonts w:ascii="Exo 2 Semi Bold" w:eastAsia="Times New Roman" w:hAnsi="Exo 2 Semi Bold" w:cs="Times New Roman"/>
          <w:color w:val="333333"/>
          <w:sz w:val="23"/>
          <w:szCs w:val="23"/>
          <w:lang w:eastAsia="ru-RU"/>
        </w:rPr>
        <w:t>энергопринимающих</w:t>
      </w:r>
      <w:proofErr w:type="spellEnd"/>
      <w:r w:rsidRPr="00B403DE">
        <w:rPr>
          <w:rFonts w:ascii="Exo 2 Semi Bold" w:eastAsia="Times New Roman" w:hAnsi="Exo 2 Semi Bold" w:cs="Times New Roman"/>
          <w:color w:val="333333"/>
          <w:sz w:val="23"/>
          <w:szCs w:val="23"/>
          <w:lang w:eastAsia="ru-RU"/>
        </w:rPr>
        <w:t xml:space="preserve"> устройств до 15 кВт включительно (с учетом ранее присоединенных в данной точке присоединения </w:t>
      </w:r>
      <w:proofErr w:type="spellStart"/>
      <w:r w:rsidRPr="00B403DE">
        <w:rPr>
          <w:rFonts w:ascii="Exo 2 Semi Bold" w:eastAsia="Times New Roman" w:hAnsi="Exo 2 Semi Bold" w:cs="Times New Roman"/>
          <w:color w:val="333333"/>
          <w:sz w:val="23"/>
          <w:szCs w:val="23"/>
          <w:lang w:eastAsia="ru-RU"/>
        </w:rPr>
        <w:t>энергопринимающих</w:t>
      </w:r>
      <w:proofErr w:type="spellEnd"/>
      <w:r w:rsidRPr="00B403DE">
        <w:rPr>
          <w:rFonts w:ascii="Exo 2 Semi Bold" w:eastAsia="Times New Roman" w:hAnsi="Exo 2 Semi Bold" w:cs="Times New Roman"/>
          <w:color w:val="333333"/>
          <w:sz w:val="23"/>
          <w:szCs w:val="23"/>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питания:</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жительства заявителя;</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(в том числе по этапам и очередям);</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запрашиваемая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заявителя;</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 xml:space="preserve">Для юридических лиц или индивидуальных предпринимателей, максимальная мощность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 которых составляет до 150 кВт включительно (с учетом ранее присоединенных в данной точке присоединения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 и электроснабжение которых предусматривается по второй или третьей категории надежности: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 xml:space="preserve">наименование и местонахождение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местонахождение заявителя (юридический, почтовый адреса);</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количество точек присоединения с указанием технических параметров элементов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(в том числе по этапам и очередям);</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этапам и очередям;</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заявителя;</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экономической деятельности хозяйствующего субъекта);</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свыше 15 кВт и до 150 кВт включительно;</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 xml:space="preserve">Для юридических лиц или индивидуальных предпринимателей, максимальная мощность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 которых свыше 150 кВт и менее 670 кВт:</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и местонахождение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местонахождение заявителя (юридический, почтовый адреса);</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количество точек присоединения с указанием технических параметров элементов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(в том числе по этапам и очередям);</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этапам и очередям;</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заявителя;</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производственной деятельности);</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w:t>
      </w:r>
      <w:r w:rsidRPr="00B403DE">
        <w:rPr>
          <w:rFonts w:ascii="Exo 2 Light" w:eastAsia="Times New Roman" w:hAnsi="Exo 2 Light" w:cs="Times New Roman"/>
          <w:color w:val="333333"/>
          <w:sz w:val="23"/>
          <w:szCs w:val="23"/>
          <w:lang w:eastAsia="ru-RU"/>
        </w:rPr>
        <w:lastRenderedPageBreak/>
        <w:t xml:space="preserve">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 xml:space="preserve">Для лиц, подавших заявку в целях временного (на срок не более 12 месяцев) технологического присоединения принадлежащих ему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w:t>
      </w:r>
      <w:r w:rsidRPr="00B403DE">
        <w:rPr>
          <w:rFonts w:ascii="Exo 2 Light" w:eastAsia="Times New Roman" w:hAnsi="Exo 2 Light" w:cs="Times New Roman"/>
          <w:color w:val="333333"/>
          <w:sz w:val="23"/>
          <w:szCs w:val="23"/>
          <w:shd w:val="clear" w:color="auto" w:fill="EFF2F4"/>
          <w:lang w:eastAsia="ru-RU"/>
        </w:rPr>
        <w:t>:</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нахождения заявителя;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заявителя;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экономической деятельности хозяйствующего субъекта);</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 электроснабжения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временной схеме электроснабжения;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Для юридических лиц, за исключением выше перечисленных:</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нахождения заявителя;</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 xml:space="preserve">запрашиваемая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количество точек присоединения с указанием технических параметров элементов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B403DE">
        <w:rPr>
          <w:rFonts w:ascii="Exo 2 Light" w:eastAsia="Times New Roman" w:hAnsi="Exo 2 Light" w:cs="Times New Roman"/>
          <w:color w:val="333333"/>
          <w:sz w:val="23"/>
          <w:szCs w:val="23"/>
          <w:lang w:eastAsia="ru-RU"/>
        </w:rPr>
        <w:t>несимметрию</w:t>
      </w:r>
      <w:proofErr w:type="spellEnd"/>
      <w:r w:rsidRPr="00B403DE">
        <w:rPr>
          <w:rFonts w:ascii="Exo 2 Light" w:eastAsia="Times New Roman" w:hAnsi="Exo 2 Light" w:cs="Times New Roman"/>
          <w:color w:val="333333"/>
          <w:sz w:val="23"/>
          <w:szCs w:val="23"/>
          <w:lang w:eastAsia="ru-RU"/>
        </w:rPr>
        <w:t xml:space="preserve"> напряжения в точках присоединения;</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необходимость наличия технологической и (или) аварийной брони;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(в том числе по этапам и очередям);</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этапам и очередям;</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К заявке прилагаются следующие документы:</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план расположения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 (ситуационный план с привязкой к местности);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перечень и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могут быть присоединены к устройствам противоаварийной автоматики;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(для заявителей, планирующих осуществить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осуществляемого с использованием объектов инфраструктуры и другого имущества общего пользования этого объединения, - копия договора об использовании объектов инфраструктуры и другого имущества общего пользования;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заявителя, предусмотренные пунктом 34 основных положений функционирования розничных рынков электрической энергии, в случае, если в заявке указаны сведения о наименовании субъекта розничного рынка с которым заявитель намеревается заключить договор энергоснабжения или купли-продажи (поставки) электрической энергии (мощности).</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приеме заявки с полным комплектом принимаемых документов сотрудник сетевой организации выдает расписку в получении документов с указанием № регистрации заявки.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В случае отсутствия в заявке всех необходимых сведений и документов, сетевая компания обязана уведомить об этом заявителя.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2. Определение границ по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Граница балансовой принадлежности определяется соглашением между заявителем и сетевой организацией и устанавливается: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физических лиц с максимальной мощностью до 15 кВт включительно устанавливаются на зажимах опоры </w:t>
      </w:r>
      <w:proofErr w:type="gramStart"/>
      <w:r w:rsidRPr="00B403DE">
        <w:rPr>
          <w:rFonts w:ascii="Exo 2 Light" w:eastAsia="Times New Roman" w:hAnsi="Exo 2 Light" w:cs="Times New Roman"/>
          <w:color w:val="333333"/>
          <w:sz w:val="23"/>
          <w:szCs w:val="23"/>
          <w:lang w:eastAsia="ru-RU"/>
        </w:rPr>
        <w:t>ВЛ</w:t>
      </w:r>
      <w:proofErr w:type="gramEnd"/>
      <w:r w:rsidRPr="00B403DE">
        <w:rPr>
          <w:rFonts w:ascii="Exo 2 Light" w:eastAsia="Times New Roman" w:hAnsi="Exo 2 Light" w:cs="Times New Roman"/>
          <w:color w:val="333333"/>
          <w:sz w:val="23"/>
          <w:szCs w:val="23"/>
          <w:lang w:eastAsia="ru-RU"/>
        </w:rPr>
        <w:t xml:space="preserve"> -0,23(0,38)-10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 xml:space="preserve"> в точке присоединения, на расстоянии в пределах 25 метров от границы участка, на котором располагаются (будут располагаться) присоединяемые объекты заявителя;</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для юридических лиц определяется соглашением между заявителем и сетевой организацией с учетом характера нагрузки и перспективного плана развития;</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объектов социально-культурного характера и многоэтажных жилых домов устанавливаются во ВРУ -0,4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заявителей,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которых находятся в нежилых помещения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заявителей,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которых находятся в нежилых помещениях, расположенных в объектах капитального строительства, не относящихся к многоквартирным </w:t>
      </w:r>
      <w:r w:rsidRPr="00B403DE">
        <w:rPr>
          <w:rFonts w:ascii="Exo 2 Light" w:eastAsia="Times New Roman" w:hAnsi="Exo 2 Light" w:cs="Times New Roman"/>
          <w:color w:val="333333"/>
          <w:sz w:val="23"/>
          <w:szCs w:val="23"/>
          <w:lang w:eastAsia="ru-RU"/>
        </w:rPr>
        <w:lastRenderedPageBreak/>
        <w:t xml:space="preserve">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заявителя.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Технические условия, являясь приложением к договору об осуществлении технологического присоединения, заключенного между сетевой организацией и заявителем, содержат подробные требования к работам, выполняемым как заявителем, так и сетевой организацией.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3. Разрешение споров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Спором считается несогласие заявителя: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 перечнем мероприятий включенных в технические условия для исполнения заявителем, выданных сетевой организацией (спор рассматривается органом федерального государственного энергетического надзора при возможном участии субъекта оперативно-диспетчерского управления);</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 величиной платы за технологическое присоединение (спор рассматривается уполномоченным органом исполнительной власти Республики Татарстан в области государственного регулирования тарифов);</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со сроком исполнения договора.</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Если при заключении договора об осуществлении технологического присоединения разногласия не сняты протоколом разногласий, то споры сторон подлежат разрешению в судебном порядке по месту нахождения ответчика в соответствии с действующим законодательством Российской Федерации.</w:t>
      </w:r>
    </w:p>
    <w:p w:rsidR="00B403DE" w:rsidRDefault="00B403DE" w:rsidP="00B403DE">
      <w:pPr>
        <w:pStyle w:val="a3"/>
        <w:rPr>
          <w:rFonts w:ascii="Times New Roman" w:hAnsi="Times New Roman" w:cs="Times New Roman"/>
          <w:b/>
          <w:sz w:val="24"/>
          <w:szCs w:val="24"/>
        </w:rPr>
      </w:pPr>
    </w:p>
    <w:p w:rsidR="00B403DE" w:rsidRDefault="00B403DE" w:rsidP="00B403DE">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об осуществлении технологического присоединения</w:t>
      </w:r>
    </w:p>
    <w:p w:rsidR="00B403DE" w:rsidRDefault="00B403DE" w:rsidP="00B403DE">
      <w:pPr>
        <w:pStyle w:val="a3"/>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Технологическое присоединение осуществляется на основании договора об осуществлении технологического присоединения, заключаемого между сетевой организацией и юридическим или физическим лицом.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Сетевая организация направляет Заявителю для подписания, заполненные и подписанные 2 экземпляра проекта договора об осуществлении технологического присоединения:</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для заявителей, осуществляющих технологическое присоединение по индивидуальному проекту;</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10 дней со дня регистрации заявки для заявителей, осуществляющих технологическое присоединение по временной схеме электроснабжения</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В течение 15 дней со дня регистрации заявки для заявителей: – физических лиц с максимальной запрашиваемой мощностью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до 15 кВт включительно (с учетом ранее разрешенной к присоединению мощности), по III категории надежности и использованием электроэнергии для бытовых и иных нужд, не связанных с </w:t>
      </w:r>
      <w:r w:rsidRPr="00B403DE">
        <w:rPr>
          <w:rFonts w:ascii="Exo 2 Light" w:eastAsia="Times New Roman" w:hAnsi="Exo 2 Light" w:cs="Times New Roman"/>
          <w:color w:val="333333"/>
          <w:sz w:val="23"/>
          <w:szCs w:val="23"/>
          <w:lang w:eastAsia="ru-RU"/>
        </w:rPr>
        <w:lastRenderedPageBreak/>
        <w:t xml:space="preserve">осуществлением предпринимательской деятельности; – юридических лиц или индивидуальных предпринимателей с максимальной запрашиваемой мощностью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до 150 кВт включительно (с учетом ранее разрешенной к присоединению мощности) по II или III категории надежности;</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30 дней со дня регистрации заявки для прочих заявителей.</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о чем письменно уведомляется заявитель.</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Согласно договору, сетевая организация обязуется осуществить мероприятия по технологическому присоединению </w:t>
      </w:r>
      <w:proofErr w:type="spellStart"/>
      <w:r w:rsidRPr="00B403DE">
        <w:rPr>
          <w:rFonts w:ascii="Exo 2 Light" w:eastAsia="Times New Roman" w:hAnsi="Exo 2 Light" w:cs="Times New Roman"/>
          <w:color w:val="333333"/>
          <w:sz w:val="23"/>
          <w:szCs w:val="23"/>
          <w:shd w:val="clear" w:color="auto" w:fill="EFF2F4"/>
          <w:lang w:eastAsia="ru-RU"/>
        </w:rPr>
        <w:t>энергопринимающих</w:t>
      </w:r>
      <w:proofErr w:type="spellEnd"/>
      <w:r w:rsidRPr="00B403DE">
        <w:rPr>
          <w:rFonts w:ascii="Exo 2 Light" w:eastAsia="Times New Roman" w:hAnsi="Exo 2 Light" w:cs="Times New Roman"/>
          <w:color w:val="333333"/>
          <w:sz w:val="23"/>
          <w:szCs w:val="23"/>
          <w:shd w:val="clear" w:color="auto" w:fill="EFF2F4"/>
          <w:lang w:eastAsia="ru-RU"/>
        </w:rPr>
        <w:t xml:space="preserve"> устройств заявителя в установленные сроки, а заявитель обязуется оплатить стоимость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отсутствии разногласий заявитель должен в течение 30 календарных дней рассмотреть, подписать и направить один экземпляр договора с приложениями в адрес сетевой организации.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В случае </w:t>
      </w:r>
      <w:proofErr w:type="spellStart"/>
      <w:r w:rsidRPr="00B403DE">
        <w:rPr>
          <w:rFonts w:ascii="Exo 2 Light" w:eastAsia="Times New Roman" w:hAnsi="Exo 2 Light" w:cs="Times New Roman"/>
          <w:color w:val="333333"/>
          <w:sz w:val="23"/>
          <w:szCs w:val="23"/>
          <w:shd w:val="clear" w:color="auto" w:fill="EFF2F4"/>
          <w:lang w:eastAsia="ru-RU"/>
        </w:rPr>
        <w:t>ненаправления</w:t>
      </w:r>
      <w:proofErr w:type="spellEnd"/>
      <w:r w:rsidRPr="00B403DE">
        <w:rPr>
          <w:rFonts w:ascii="Exo 2 Light" w:eastAsia="Times New Roman" w:hAnsi="Exo 2 Light" w:cs="Times New Roman"/>
          <w:color w:val="333333"/>
          <w:sz w:val="23"/>
          <w:szCs w:val="23"/>
          <w:shd w:val="clear" w:color="auto" w:fill="EFF2F4"/>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p>
    <w:p w:rsidR="00B403DE" w:rsidRDefault="00B403DE" w:rsidP="00B403DE">
      <w:pPr>
        <w:pStyle w:val="a3"/>
        <w:numPr>
          <w:ilvl w:val="0"/>
          <w:numId w:val="2"/>
        </w:numPr>
        <w:jc w:val="center"/>
        <w:rPr>
          <w:rFonts w:ascii="Times New Roman" w:hAnsi="Times New Roman" w:cs="Times New Roman"/>
          <w:b/>
          <w:sz w:val="24"/>
          <w:szCs w:val="24"/>
        </w:rPr>
      </w:pPr>
      <w:r w:rsidRPr="00B403DE">
        <w:rPr>
          <w:rFonts w:ascii="Times New Roman" w:hAnsi="Times New Roman" w:cs="Times New Roman"/>
          <w:b/>
          <w:sz w:val="24"/>
          <w:szCs w:val="24"/>
        </w:rPr>
        <w:t xml:space="preserve">Подача заявки в </w:t>
      </w:r>
      <w:proofErr w:type="spellStart"/>
      <w:r w:rsidRPr="00B403DE">
        <w:rPr>
          <w:rFonts w:ascii="Times New Roman" w:hAnsi="Times New Roman" w:cs="Times New Roman"/>
          <w:b/>
          <w:sz w:val="24"/>
          <w:szCs w:val="24"/>
        </w:rPr>
        <w:t>энергосбытовую</w:t>
      </w:r>
      <w:proofErr w:type="spellEnd"/>
      <w:r w:rsidRPr="00B403DE">
        <w:rPr>
          <w:rFonts w:ascii="Times New Roman" w:hAnsi="Times New Roman" w:cs="Times New Roman"/>
          <w:b/>
          <w:sz w:val="24"/>
          <w:szCs w:val="24"/>
        </w:rPr>
        <w:t xml:space="preserve"> компанию, заключение договора энергоснабжения</w:t>
      </w: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Exo 2 Light" w:hAnsi="Exo 2 Light"/>
          <w:color w:val="333333"/>
          <w:sz w:val="23"/>
          <w:szCs w:val="23"/>
          <w:shd w:val="clear" w:color="auto" w:fill="EFF2F4"/>
        </w:rPr>
      </w:pPr>
      <w:r>
        <w:rPr>
          <w:rFonts w:ascii="Exo 2 Light" w:hAnsi="Exo 2 Light"/>
          <w:color w:val="333333"/>
          <w:sz w:val="23"/>
          <w:szCs w:val="23"/>
          <w:shd w:val="clear" w:color="auto" w:fill="EFF2F4"/>
        </w:rPr>
        <w:t>С даты заключения договора об осуществлении технологического присоединения, в случае если в заявке на технологическое присоединение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сетевая организация заполняет и направляет в адрес Заявителя подписанный проект договора на оказание услуг по передаче электрической энергии.</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Pr>
          <w:rFonts w:ascii="Exo 2 Light" w:hAnsi="Exo 2 Light"/>
          <w:color w:val="333333"/>
          <w:sz w:val="23"/>
          <w:szCs w:val="23"/>
          <w:shd w:val="clear" w:color="auto" w:fill="EFF2F4"/>
        </w:rPr>
        <w:t>энергопринимающих</w:t>
      </w:r>
      <w:proofErr w:type="spellEnd"/>
      <w:r>
        <w:rPr>
          <w:rFonts w:ascii="Exo 2 Light" w:hAnsi="Exo 2 Light"/>
          <w:color w:val="333333"/>
          <w:sz w:val="23"/>
          <w:szCs w:val="23"/>
          <w:shd w:val="clear" w:color="auto" w:fill="EFF2F4"/>
        </w:rPr>
        <w:t xml:space="preserve"> устройств, технологическое присоединение которых осуществляется, копию подписанного с заявителем договора об осуществлении технологического присоединения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Заявитель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 обеспечивающего продажу электрической энергии (мощности) на розничном </w:t>
      </w:r>
      <w:r>
        <w:rPr>
          <w:rFonts w:ascii="Exo 2 Light" w:hAnsi="Exo 2 Light"/>
          <w:color w:val="333333"/>
          <w:sz w:val="23"/>
          <w:szCs w:val="23"/>
          <w:shd w:val="clear" w:color="auto" w:fill="EFF2F4"/>
        </w:rPr>
        <w:lastRenderedPageBreak/>
        <w:t>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rPr>
          <w:rFonts w:ascii="Exo 2 Light" w:hAnsi="Exo 2 Light"/>
          <w:color w:val="333333"/>
          <w:sz w:val="23"/>
          <w:szCs w:val="23"/>
          <w:shd w:val="clear" w:color="auto" w:fill="EFF2F4"/>
        </w:rPr>
        <w:t>энергопринимающих</w:t>
      </w:r>
      <w:proofErr w:type="spellEnd"/>
      <w:r>
        <w:rPr>
          <w:rFonts w:ascii="Exo 2 Light" w:hAnsi="Exo 2 Light"/>
          <w:color w:val="333333"/>
          <w:sz w:val="23"/>
          <w:szCs w:val="23"/>
          <w:shd w:val="clear" w:color="auto" w:fill="EFF2F4"/>
        </w:rP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Договор на оказание услуг по передаче электрической энергии в отношении </w:t>
      </w:r>
      <w:proofErr w:type="spellStart"/>
      <w:r>
        <w:rPr>
          <w:rFonts w:ascii="Exo 2 Light" w:hAnsi="Exo 2 Light"/>
          <w:color w:val="333333"/>
          <w:sz w:val="23"/>
          <w:szCs w:val="23"/>
          <w:shd w:val="clear" w:color="auto" w:fill="EFF2F4"/>
        </w:rPr>
        <w:t>энергопринимающих</w:t>
      </w:r>
      <w:proofErr w:type="spellEnd"/>
      <w:r>
        <w:rPr>
          <w:rFonts w:ascii="Exo 2 Light" w:hAnsi="Exo 2 Light"/>
          <w:color w:val="333333"/>
          <w:sz w:val="23"/>
          <w:szCs w:val="23"/>
          <w:shd w:val="clear" w:color="auto" w:fill="EFF2F4"/>
        </w:rPr>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Pr>
          <w:rFonts w:ascii="Exo 2 Light" w:hAnsi="Exo 2 Light"/>
          <w:color w:val="333333"/>
          <w:sz w:val="23"/>
          <w:szCs w:val="23"/>
          <w:shd w:val="clear" w:color="auto" w:fill="EFF2F4"/>
        </w:rPr>
        <w:t>энергопринимающих</w:t>
      </w:r>
      <w:proofErr w:type="spellEnd"/>
      <w:r>
        <w:rPr>
          <w:rFonts w:ascii="Exo 2 Light" w:hAnsi="Exo 2 Light"/>
          <w:color w:val="333333"/>
          <w:sz w:val="23"/>
          <w:szCs w:val="23"/>
          <w:shd w:val="clear" w:color="auto" w:fill="EFF2F4"/>
        </w:rPr>
        <w:t xml:space="preserve"> устройств.</w:t>
      </w:r>
    </w:p>
    <w:p w:rsidR="00B403DE" w:rsidRDefault="00B403DE" w:rsidP="00B403DE">
      <w:pPr>
        <w:pStyle w:val="a3"/>
        <w:rPr>
          <w:rFonts w:ascii="Exo 2 Light" w:hAnsi="Exo 2 Light"/>
          <w:color w:val="333333"/>
          <w:sz w:val="23"/>
          <w:szCs w:val="23"/>
          <w:shd w:val="clear" w:color="auto" w:fill="EFF2F4"/>
        </w:rPr>
      </w:pPr>
    </w:p>
    <w:p w:rsidR="00B403DE" w:rsidRDefault="00B403DE" w:rsidP="00B403DE">
      <w:pPr>
        <w:pStyle w:val="a3"/>
        <w:rPr>
          <w:rFonts w:ascii="Exo 2 Light" w:hAnsi="Exo 2 Light"/>
          <w:color w:val="333333"/>
          <w:sz w:val="23"/>
          <w:szCs w:val="23"/>
          <w:shd w:val="clear" w:color="auto" w:fill="EFF2F4"/>
        </w:rPr>
      </w:pPr>
    </w:p>
    <w:p w:rsidR="00B403DE" w:rsidRDefault="00B403DE" w:rsidP="00B403DE">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Работа по исполнению договора</w:t>
      </w: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 Исполнение условий договора по оплате услуг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течении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б) Разработка заявителем и исполнителем проектной документации в пределах границ раздела по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На этом этапе заявитель с привлечением проектной организации разрабатывает проект (схему) внешнего электроснабжения в пределах границ балансового принадлежности согласно техническим условиям. Проект электроснабжения разрабатывается согласно нормам проектирования.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Проверка сетевой организацией представленной заявителем проектной документации.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Сетевая организация, а также соответствующий субъект оперативно-диспетчерского </w:t>
      </w:r>
      <w:r w:rsidRPr="00B403DE">
        <w:rPr>
          <w:rFonts w:ascii="Exo 2 Light" w:eastAsia="Times New Roman" w:hAnsi="Exo 2 Light" w:cs="Times New Roman"/>
          <w:color w:val="333333"/>
          <w:sz w:val="23"/>
          <w:szCs w:val="23"/>
          <w:lang w:eastAsia="ru-RU"/>
        </w:rPr>
        <w:lastRenderedPageBreak/>
        <w:t>управления, в случае если технические условия подлежат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согласованию с соответствующим субъектом оперативно-диспетчерского управления, указанный срок не должен превышать 25 дней.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г) Согласование заявителем разработанной проектной документации в органе федерального государственного энергетического надзора.</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Орган федерального государственного энергетического надзора проводит проверку документации на предмет соответствия требованиям норм, правил и стандартов, согласно приказу № 212 от 7.04.2008 ОБ УТВЕРЖДЕНИИ ПОРЯДКА ОРГАНИЗАЦИИ РАБОТ ПО ВЫДАЧЕ РАЗРЕШЕНИЙ НА ДОПУСК В ЭКСПЛУАТАЦИЮ ЭНЕРГОУСТАНОВОК (в ред. Приказа Минприроды РФ от 20.08.2008 N 182).</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д.1) Исполнение заявителем мероприятий в соответствии с техническими условиями и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 Сетевая организация выполняет свою часть технических условий, в пределах границ раздела по балансовой принадлежности.</w:t>
      </w:r>
      <w:r w:rsidRPr="00B403DE">
        <w:rPr>
          <w:rFonts w:ascii="Exo 2 Light" w:eastAsia="Times New Roman" w:hAnsi="Exo 2 Light" w:cs="Times New Roman"/>
          <w:color w:val="333333"/>
          <w:sz w:val="23"/>
          <w:szCs w:val="23"/>
          <w:lang w:eastAsia="ru-RU"/>
        </w:rPr>
        <w:br/>
        <w:t>После завершения цикла работ, предусмотренных техническими условиями,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д.2) Исполнение сетевой организацией мероприятий в соответствии с техническими условиями и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Срок осуществления мероприятий по технологическому присоединению, который исчисляется со дня заключения договора и не может превышать:</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случаях осуществления технологического присоединения к электрическим сетям классом напряжения до 20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и (или) объектов электроэнергетики:</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4 месяца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до 670 кВт включительно;</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1 год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свыше 670 кВт;</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lastRenderedPageBreak/>
        <w:br/>
      </w:r>
      <w:r w:rsidRPr="00B403DE">
        <w:rPr>
          <w:rFonts w:ascii="Exo 2 Light" w:eastAsia="Times New Roman" w:hAnsi="Exo 2 Light" w:cs="Times New Roman"/>
          <w:color w:val="333333"/>
          <w:sz w:val="23"/>
          <w:szCs w:val="23"/>
          <w:shd w:val="clear" w:color="auto" w:fill="EFF2F4"/>
          <w:lang w:eastAsia="ru-RU"/>
        </w:rPr>
        <w:t>в иных случаях:</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B403DE">
        <w:rPr>
          <w:rFonts w:ascii="Exo 2 Light" w:eastAsia="Times New Roman" w:hAnsi="Exo 2 Light" w:cs="Times New Roman"/>
          <w:color w:val="333333"/>
          <w:sz w:val="23"/>
          <w:szCs w:val="23"/>
          <w:lang w:eastAsia="ru-RU"/>
        </w:rPr>
        <w:t>энергопринимающего</w:t>
      </w:r>
      <w:proofErr w:type="spellEnd"/>
      <w:r w:rsidRPr="00B403DE">
        <w:rPr>
          <w:rFonts w:ascii="Exo 2 Light" w:eastAsia="Times New Roman" w:hAnsi="Exo 2 Light" w:cs="Times New Roman"/>
          <w:color w:val="333333"/>
          <w:sz w:val="23"/>
          <w:szCs w:val="23"/>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составляет не более 300 метров в городах и поселках городского типа и не более 500 метров в сельской местности;</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1 год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2 года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е) Проверка сетевой организацией выполнения заявителем технических условий и подписание актов.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Для проведения проверки выполнения технических условий, не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proofErr w:type="spellStart"/>
      <w:r w:rsidRPr="00B403DE">
        <w:rPr>
          <w:rFonts w:ascii="Exo 2 Light" w:eastAsia="Times New Roman" w:hAnsi="Exo 2 Light" w:cs="Times New Roman"/>
          <w:color w:val="333333"/>
          <w:sz w:val="23"/>
          <w:szCs w:val="23"/>
          <w:lang w:eastAsia="ru-RU"/>
        </w:rPr>
        <w:t>сертификации;копии</w:t>
      </w:r>
      <w:proofErr w:type="spellEnd"/>
      <w:r w:rsidRPr="00B403DE">
        <w:rPr>
          <w:rFonts w:ascii="Exo 2 Light" w:eastAsia="Times New Roman" w:hAnsi="Exo 2 Light" w:cs="Times New Roman"/>
          <w:color w:val="333333"/>
          <w:sz w:val="23"/>
          <w:szCs w:val="23"/>
          <w:lang w:eastAsia="ru-RU"/>
        </w:rPr>
        <w:t xml:space="preserve">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содержащие информацию о результатах проведения пусконаладочных работ, приемо-сдаточных и иных испытаний;</w:t>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Для проведения проверки выполнения технических условий, подлежащих согласованию с системным оператором (субъектом оперативно-диспетчерского управления в технологически </w:t>
      </w:r>
      <w:r w:rsidRPr="00B403DE">
        <w:rPr>
          <w:rFonts w:ascii="Exo 2 Light" w:eastAsia="Times New Roman" w:hAnsi="Exo 2 Light" w:cs="Times New Roman"/>
          <w:color w:val="333333"/>
          <w:sz w:val="23"/>
          <w:szCs w:val="23"/>
          <w:shd w:val="clear" w:color="auto" w:fill="EFF2F4"/>
          <w:lang w:eastAsia="ru-RU"/>
        </w:rPr>
        <w:lastRenderedPageBreak/>
        <w:t>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 в дополнение к вышеуказанным: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информацию о технических параметрах и характеристиках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proofErr w:type="gramStart"/>
      <w:r w:rsidRPr="00B403DE">
        <w:rPr>
          <w:rFonts w:ascii="Exo 2 Light" w:eastAsia="Times New Roman" w:hAnsi="Exo 2 Light" w:cs="Times New Roman"/>
          <w:color w:val="333333"/>
          <w:sz w:val="23"/>
          <w:szCs w:val="23"/>
          <w:lang w:eastAsia="ru-RU"/>
        </w:rPr>
        <w:t xml:space="preserve">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B403DE">
        <w:rPr>
          <w:rFonts w:ascii="Exo 2 Light" w:eastAsia="Times New Roman" w:hAnsi="Exo 2 Light" w:cs="Times New Roman"/>
          <w:color w:val="333333"/>
          <w:sz w:val="23"/>
          <w:szCs w:val="23"/>
          <w:lang w:eastAsia="ru-RU"/>
        </w:rPr>
        <w:t>параметрированию</w:t>
      </w:r>
      <w:proofErr w:type="spellEnd"/>
      <w:r w:rsidRPr="00B403DE">
        <w:rPr>
          <w:rFonts w:ascii="Exo 2 Light" w:eastAsia="Times New Roman" w:hAnsi="Exo 2 Light" w:cs="Times New Roman"/>
          <w:color w:val="333333"/>
          <w:sz w:val="23"/>
          <w:szCs w:val="23"/>
          <w:lang w:eastAsia="ru-RU"/>
        </w:rPr>
        <w:t xml:space="preserve"> устройств (комплексов) релейной защиты и автоматики, исполнительные схемы;</w:t>
      </w:r>
      <w:proofErr w:type="gramEnd"/>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B403DE">
        <w:rPr>
          <w:rFonts w:ascii="Exo 2 Light" w:eastAsia="Times New Roman" w:hAnsi="Exo 2 Light" w:cs="Times New Roman"/>
          <w:color w:val="333333"/>
          <w:sz w:val="23"/>
          <w:szCs w:val="23"/>
          <w:lang w:eastAsia="ru-RU"/>
        </w:rPr>
        <w:t>энергопринимающего</w:t>
      </w:r>
      <w:proofErr w:type="spellEnd"/>
      <w:r w:rsidRPr="00B403DE">
        <w:rPr>
          <w:rFonts w:ascii="Exo 2 Light" w:eastAsia="Times New Roman" w:hAnsi="Exo 2 Light" w:cs="Times New Roman"/>
          <w:color w:val="333333"/>
          <w:sz w:val="23"/>
          <w:szCs w:val="23"/>
          <w:lang w:eastAsia="ru-RU"/>
        </w:rPr>
        <w:t xml:space="preserve"> устройства или объекта электроэнергетики, включая проведение пусконаладочных работ, приемо-сдаточных и иных испытаний.</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В течение 10 дней с момента подачи уведомления о готовности к присоединению, сетевая организация должна проверить выполнение заявителем технических условий, провести осмотр построенных сетевых объектов, а при участии представителей субъекта оперативно-диспетчерского управления – 25 дней.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Сетевая организация рассматривает представленные заявителем документы и осуществляет осмотр электроустановок заявителя. По результатам осмотра электроустановок заявителя сетевая организация составляет акт осмотра (обследования) электроустановки.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По итогам проверок, проводимых сетевой организацией, составляются и подписываются акты:</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осмотра (обследования) электроустановки заявителя;</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допуска приборов учета в эксплуатацию;</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разграничения границ балансовой принадлежности сторон;</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разграничения эксплуатационной ответственности сторон;</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о выполнении технических условий.</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r w:rsidRPr="00B403DE">
        <w:rPr>
          <w:rFonts w:ascii="Exo 2 Light" w:eastAsia="Times New Roman" w:hAnsi="Exo 2 Light" w:cs="Times New Roman"/>
          <w:color w:val="333333"/>
          <w:sz w:val="23"/>
          <w:szCs w:val="23"/>
          <w:lang w:eastAsia="ru-RU"/>
        </w:rPr>
        <w:lastRenderedPageBreak/>
        <w:br/>
      </w:r>
      <w:r w:rsidRPr="00B403DE">
        <w:rPr>
          <w:rFonts w:ascii="Exo 2 Light" w:eastAsia="Times New Roman" w:hAnsi="Exo 2 Light" w:cs="Times New Roman"/>
          <w:color w:val="333333"/>
          <w:sz w:val="23"/>
          <w:szCs w:val="23"/>
          <w:shd w:val="clear" w:color="auto" w:fill="EFF2F4"/>
          <w:lang w:eastAsia="ru-RU"/>
        </w:rPr>
        <w:t>ж) Фактическое присоединение (коммутационные аппараты отключены) и подписание актов.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После проверки заявителем технических условий, сетевая организация осуществляет комплекс технических и организационных мероприятий, обеспечивающих физическое соединение </w:t>
      </w:r>
      <w:proofErr w:type="spellStart"/>
      <w:r w:rsidRPr="00B403DE">
        <w:rPr>
          <w:rFonts w:ascii="Exo 2 Light" w:eastAsia="Times New Roman" w:hAnsi="Exo 2 Light" w:cs="Times New Roman"/>
          <w:color w:val="333333"/>
          <w:sz w:val="23"/>
          <w:szCs w:val="23"/>
          <w:shd w:val="clear" w:color="auto" w:fill="EFF2F4"/>
          <w:lang w:eastAsia="ru-RU"/>
        </w:rPr>
        <w:t>энергопринимающих</w:t>
      </w:r>
      <w:proofErr w:type="spellEnd"/>
      <w:r w:rsidRPr="00B403DE">
        <w:rPr>
          <w:rFonts w:ascii="Exo 2 Light" w:eastAsia="Times New Roman" w:hAnsi="Exo 2 Light" w:cs="Times New Roman"/>
          <w:color w:val="333333"/>
          <w:sz w:val="23"/>
          <w:szCs w:val="23"/>
          <w:shd w:val="clear" w:color="auto" w:fill="EFF2F4"/>
          <w:lang w:eastAsia="ru-RU"/>
        </w:rPr>
        <w:t xml:space="preserve">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w:t>
      </w:r>
      <w:proofErr w:type="spellStart"/>
      <w:r w:rsidRPr="00B403DE">
        <w:rPr>
          <w:rFonts w:ascii="Exo 2 Light" w:eastAsia="Times New Roman" w:hAnsi="Exo 2 Light" w:cs="Times New Roman"/>
          <w:color w:val="333333"/>
          <w:sz w:val="23"/>
          <w:szCs w:val="23"/>
          <w:shd w:val="clear" w:color="auto" w:fill="EFF2F4"/>
          <w:lang w:eastAsia="ru-RU"/>
        </w:rPr>
        <w:t>энергопринимающие</w:t>
      </w:r>
      <w:proofErr w:type="spellEnd"/>
      <w:r w:rsidRPr="00B403DE">
        <w:rPr>
          <w:rFonts w:ascii="Exo 2 Light" w:eastAsia="Times New Roman" w:hAnsi="Exo 2 Light" w:cs="Times New Roman"/>
          <w:color w:val="333333"/>
          <w:sz w:val="23"/>
          <w:szCs w:val="23"/>
          <w:shd w:val="clear" w:color="auto" w:fill="EFF2F4"/>
          <w:lang w:eastAsia="ru-RU"/>
        </w:rPr>
        <w:t xml:space="preserve"> устройства заявителя.</w:t>
      </w:r>
    </w:p>
    <w:p w:rsidR="00402FDA" w:rsidRDefault="00402FDA" w:rsidP="00B403DE">
      <w:pPr>
        <w:pStyle w:val="a3"/>
        <w:rPr>
          <w:rFonts w:ascii="Exo 2 Light" w:eastAsia="Times New Roman" w:hAnsi="Exo 2 Light" w:cs="Times New Roman"/>
          <w:color w:val="333333"/>
          <w:sz w:val="23"/>
          <w:szCs w:val="23"/>
          <w:shd w:val="clear" w:color="auto" w:fill="EFF2F4"/>
          <w:lang w:eastAsia="ru-RU"/>
        </w:rPr>
      </w:pPr>
    </w:p>
    <w:p w:rsidR="00402FDA" w:rsidRDefault="00402FDA" w:rsidP="00B403DE">
      <w:pPr>
        <w:pStyle w:val="a3"/>
        <w:rPr>
          <w:rFonts w:ascii="Exo 2 Light" w:eastAsia="Times New Roman" w:hAnsi="Exo 2 Light" w:cs="Times New Roman"/>
          <w:color w:val="333333"/>
          <w:sz w:val="23"/>
          <w:szCs w:val="23"/>
          <w:shd w:val="clear" w:color="auto" w:fill="EFF2F4"/>
          <w:lang w:eastAsia="ru-RU"/>
        </w:rPr>
      </w:pPr>
    </w:p>
    <w:p w:rsidR="00402FDA" w:rsidRDefault="00402FDA" w:rsidP="00402FDA">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Осмотр электроустановки заявителя представителями федерального органа исполнительной власти по технологическому надзору</w:t>
      </w:r>
    </w:p>
    <w:p w:rsidR="00402FDA" w:rsidRDefault="00402FDA" w:rsidP="00402FDA">
      <w:pPr>
        <w:jc w:val="center"/>
        <w:rPr>
          <w:rFonts w:ascii="Times New Roman" w:hAnsi="Times New Roman" w:cs="Times New Roman"/>
          <w:b/>
          <w:sz w:val="24"/>
          <w:szCs w:val="24"/>
        </w:rPr>
      </w:pPr>
    </w:p>
    <w:p w:rsidR="00402FDA" w:rsidRPr="00402FDA" w:rsidRDefault="00402FDA" w:rsidP="00402FDA">
      <w:pPr>
        <w:shd w:val="clear" w:color="auto" w:fill="EFF2F4"/>
        <w:spacing w:after="0" w:line="240" w:lineRule="auto"/>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Официальный сайт органа федерального государственного энергетического надзора </w:t>
      </w:r>
      <w:hyperlink r:id="rId6" w:history="1">
        <w:r w:rsidRPr="00402FDA">
          <w:rPr>
            <w:rFonts w:ascii="Exo 2 Light" w:eastAsia="Times New Roman" w:hAnsi="Exo 2 Light" w:cs="Times New Roman"/>
            <w:color w:val="0091D7"/>
            <w:sz w:val="23"/>
            <w:szCs w:val="23"/>
            <w:u w:val="single"/>
            <w:lang w:eastAsia="ru-RU"/>
          </w:rPr>
          <w:t>www.gosnadzor.ru</w:t>
        </w:r>
      </w:hyperlink>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Получение разрешение уполномоченного органа федерального государственного энергетического надзора на допуск в эксплуатацию объектов не требуется для следующих заявителей:</w:t>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Физические лица с максимальной мощностью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до 15 кВт включительно (с учетом ранее присоединенных в данной точке присоединения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II или III категории надежности;</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Юридические лица или индивидуальные предприниматели с максимальной мощностью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свыше 150 кВт и менее 670 кВт, электроснабжение которых предусматривается по III категории надежности (одному источнику электроснабжения) и классом напряжения до 20 </w:t>
      </w:r>
      <w:proofErr w:type="spellStart"/>
      <w:r w:rsidRPr="00402FDA">
        <w:rPr>
          <w:rFonts w:ascii="Exo 2 Light" w:eastAsia="Times New Roman" w:hAnsi="Exo 2 Light" w:cs="Times New Roman"/>
          <w:color w:val="333333"/>
          <w:sz w:val="23"/>
          <w:szCs w:val="23"/>
          <w:lang w:eastAsia="ru-RU"/>
        </w:rPr>
        <w:t>кВ</w:t>
      </w:r>
      <w:proofErr w:type="spellEnd"/>
      <w:r w:rsidRPr="00402FDA">
        <w:rPr>
          <w:rFonts w:ascii="Exo 2 Light" w:eastAsia="Times New Roman" w:hAnsi="Exo 2 Light" w:cs="Times New Roman"/>
          <w:color w:val="333333"/>
          <w:sz w:val="23"/>
          <w:szCs w:val="23"/>
          <w:lang w:eastAsia="ru-RU"/>
        </w:rPr>
        <w:t xml:space="preserve"> включительно;</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Заявители с присоединением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по временной схеме электроснабжения, по III категории надежности, на уровне напряжения ниже 35кВ, осуществляемое на ограниченный период времени;</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Заявители с максимальной мощностью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передвижных объектов до 150 кВт включительно (с учетом ранее присоединенных в данной точке присоединения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w:t>
      </w:r>
      <w:proofErr w:type="gramStart"/>
      <w:r w:rsidRPr="00402FDA">
        <w:rPr>
          <w:rFonts w:ascii="Exo 2 Light" w:eastAsia="Times New Roman" w:hAnsi="Exo 2 Light" w:cs="Times New Roman"/>
          <w:color w:val="333333"/>
          <w:sz w:val="23"/>
          <w:szCs w:val="23"/>
          <w:lang w:eastAsia="ru-RU"/>
        </w:rPr>
        <w:t>)п</w:t>
      </w:r>
      <w:proofErr w:type="gramEnd"/>
      <w:r w:rsidRPr="00402FDA">
        <w:rPr>
          <w:rFonts w:ascii="Exo 2 Light" w:eastAsia="Times New Roman" w:hAnsi="Exo 2 Light" w:cs="Times New Roman"/>
          <w:color w:val="333333"/>
          <w:sz w:val="23"/>
          <w:szCs w:val="23"/>
          <w:lang w:eastAsia="ru-RU"/>
        </w:rPr>
        <w:t xml:space="preserve">о III категории надежности, </w:t>
      </w:r>
      <w:proofErr w:type="spellStart"/>
      <w:r w:rsidRPr="00402FDA">
        <w:rPr>
          <w:rFonts w:ascii="Exo 2 Light" w:eastAsia="Times New Roman" w:hAnsi="Exo 2 Light" w:cs="Times New Roman"/>
          <w:color w:val="333333"/>
          <w:sz w:val="23"/>
          <w:szCs w:val="23"/>
          <w:lang w:eastAsia="ru-RU"/>
        </w:rPr>
        <w:t>эксплуатирующихся</w:t>
      </w:r>
      <w:proofErr w:type="spellEnd"/>
      <w:r w:rsidRPr="00402FDA">
        <w:rPr>
          <w:rFonts w:ascii="Exo 2 Light" w:eastAsia="Times New Roman" w:hAnsi="Exo 2 Light" w:cs="Times New Roman"/>
          <w:color w:val="333333"/>
          <w:sz w:val="23"/>
          <w:szCs w:val="23"/>
          <w:lang w:eastAsia="ru-RU"/>
        </w:rPr>
        <w:t xml:space="preserve"> с периодическим перемещением и установкой на территориях различных административно-территориальных единиц.</w:t>
      </w:r>
    </w:p>
    <w:p w:rsidR="00402FDA" w:rsidRPr="00402FDA" w:rsidRDefault="00402FDA" w:rsidP="00402FDA">
      <w:pPr>
        <w:spacing w:after="0" w:line="240" w:lineRule="auto"/>
        <w:rPr>
          <w:rFonts w:ascii="Times New Roman" w:eastAsia="Times New Roman" w:hAnsi="Times New Roman" w:cs="Times New Roman"/>
          <w:sz w:val="24"/>
          <w:szCs w:val="24"/>
          <w:lang w:eastAsia="ru-RU"/>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В случаях осуществления технологического присоединения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заявителей:</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Физ. лиц до 15 кВт включительно (с учетом ранее разрешенной к присоединению в данной точке) по III категории надежности, электроснабжение которых используется для осуществления предпринимательской деятельности;</w:t>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Физ. лиц до 15 кВт по II категории надежности, свыше 15кВт любой категории надежности;</w:t>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Юр. лиц/ Инд. предпринимателей свыше 150 кВт и менее 670 кВт классом напряжения свыше 20кВ, свыше 670 кВт любой категории надежности указанные лица направляют в адрес органа </w:t>
      </w:r>
      <w:r w:rsidRPr="00402FDA">
        <w:rPr>
          <w:rFonts w:ascii="Exo 2 Light" w:eastAsia="Times New Roman" w:hAnsi="Exo 2 Light" w:cs="Times New Roman"/>
          <w:color w:val="333333"/>
          <w:sz w:val="23"/>
          <w:szCs w:val="23"/>
          <w:lang w:eastAsia="ru-RU"/>
        </w:rPr>
        <w:lastRenderedPageBreak/>
        <w:t>федерального государственного энергетического надзора уведомление о готовности на ввод в эксплуатацию объектов электроснабжения.</w:t>
      </w:r>
    </w:p>
    <w:p w:rsidR="00402FDA" w:rsidRDefault="00402FDA" w:rsidP="00402FDA">
      <w:pPr>
        <w:rPr>
          <w:rFonts w:ascii="Times New Roman" w:hAnsi="Times New Roman" w:cs="Times New Roman"/>
          <w:b/>
          <w:sz w:val="24"/>
          <w:szCs w:val="24"/>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Осмотр (обследование) присоединяемых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остальных Заявителей, осуществляется должностным лицом органа федерального государственного энергетического надзора при участии сетевой организации и собственника таких устройств. Для заявителей мощностью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5 МВт и более в осмотре принимает участие субъект оперативно-диспетчерского управления.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В случае, если представителями органа федерального государственного энергетического надзора установлена полная готовность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подписывается акт допуска энергоустановки в эксплуатацию.</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В случае выявления замечаний выдается предписание устранить их.</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После получения заявителем акта допуска, сетевая организация на основании уведомления от заявителя, составляет и подписывает Акт об осуществлении технологического присоединения.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p>
    <w:p w:rsidR="00402FDA" w:rsidRPr="00402FDA" w:rsidRDefault="00402FDA" w:rsidP="00402FDA">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Фактическая подача напряжения на </w:t>
      </w:r>
      <w:proofErr w:type="spellStart"/>
      <w:r>
        <w:rPr>
          <w:rFonts w:ascii="Times New Roman" w:hAnsi="Times New Roman" w:cs="Times New Roman"/>
          <w:b/>
          <w:sz w:val="24"/>
          <w:szCs w:val="24"/>
        </w:rPr>
        <w:t>энергопринимающее</w:t>
      </w:r>
      <w:proofErr w:type="spellEnd"/>
      <w:r>
        <w:rPr>
          <w:rFonts w:ascii="Times New Roman" w:hAnsi="Times New Roman" w:cs="Times New Roman"/>
          <w:b/>
          <w:sz w:val="24"/>
          <w:szCs w:val="24"/>
        </w:rPr>
        <w:t xml:space="preserve"> устройство Заявителя</w:t>
      </w:r>
    </w:p>
    <w:p w:rsidR="00402FDA" w:rsidRPr="00402FDA" w:rsidRDefault="00402FDA" w:rsidP="00402FDA">
      <w:pPr>
        <w:shd w:val="clear" w:color="auto" w:fill="EFF2F4"/>
        <w:spacing w:after="0" w:line="240" w:lineRule="auto"/>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После получения заявителем акта допуска (при необходимости), сетевая организация на основании уведомления от заявителя осуществляет комплекс технических и организационных мероприятий, обеспечивающих физическое соединение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в точке балансового разграничения.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По окончании осуществления мероприятий по технологическому присоединению стороны составляют следующие документы:</w:t>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об осуществлении технологического присоединения;</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разграничения границ балансовой принадлежности сторон;</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разграничения эксплуатационной ответственности сторон;</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согласования технологической и (или) аварийной брони (при необходимости).</w:t>
      </w:r>
    </w:p>
    <w:p w:rsidR="00402FDA" w:rsidRPr="00402FDA" w:rsidRDefault="00402FDA" w:rsidP="00402FDA">
      <w:pPr>
        <w:pStyle w:val="a3"/>
        <w:rPr>
          <w:rFonts w:ascii="Times New Roman" w:hAnsi="Times New Roman" w:cs="Times New Roman"/>
          <w:b/>
          <w:sz w:val="24"/>
          <w:szCs w:val="24"/>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w:t>
      </w:r>
      <w:r w:rsidRPr="00402FDA">
        <w:rPr>
          <w:rFonts w:ascii="Exo 2 Light" w:eastAsia="Times New Roman" w:hAnsi="Exo 2 Light" w:cs="Times New Roman"/>
          <w:color w:val="333333"/>
          <w:sz w:val="23"/>
          <w:szCs w:val="23"/>
          <w:shd w:val="clear" w:color="auto" w:fill="EFF2F4"/>
          <w:lang w:eastAsia="ru-RU"/>
        </w:rPr>
        <w:lastRenderedPageBreak/>
        <w:t xml:space="preserve">технологической и (или) аварийной брони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sectPr w:rsidR="00402FDA" w:rsidRPr="0040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xo 2 Semi Bold">
    <w:altName w:val="Times New Roman"/>
    <w:panose1 w:val="00000000000000000000"/>
    <w:charset w:val="00"/>
    <w:family w:val="roman"/>
    <w:notTrueType/>
    <w:pitch w:val="default"/>
  </w:font>
  <w:font w:name="Exo 2 Ligh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F82"/>
    <w:multiLevelType w:val="multilevel"/>
    <w:tmpl w:val="62A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20AFC"/>
    <w:multiLevelType w:val="multilevel"/>
    <w:tmpl w:val="0C8A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3839"/>
    <w:multiLevelType w:val="multilevel"/>
    <w:tmpl w:val="3CE0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B2125"/>
    <w:multiLevelType w:val="multilevel"/>
    <w:tmpl w:val="A2EC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C3DC4"/>
    <w:multiLevelType w:val="multilevel"/>
    <w:tmpl w:val="8E8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22162"/>
    <w:multiLevelType w:val="multilevel"/>
    <w:tmpl w:val="AB0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B51E8"/>
    <w:multiLevelType w:val="multilevel"/>
    <w:tmpl w:val="F67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06F26"/>
    <w:multiLevelType w:val="multilevel"/>
    <w:tmpl w:val="982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02242"/>
    <w:multiLevelType w:val="multilevel"/>
    <w:tmpl w:val="0FF0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A01D5"/>
    <w:multiLevelType w:val="multilevel"/>
    <w:tmpl w:val="FFEE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002E6"/>
    <w:multiLevelType w:val="multilevel"/>
    <w:tmpl w:val="C266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25615"/>
    <w:multiLevelType w:val="multilevel"/>
    <w:tmpl w:val="32A2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8C530C"/>
    <w:multiLevelType w:val="multilevel"/>
    <w:tmpl w:val="5502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028F7"/>
    <w:multiLevelType w:val="multilevel"/>
    <w:tmpl w:val="814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51107"/>
    <w:multiLevelType w:val="multilevel"/>
    <w:tmpl w:val="E462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D131E"/>
    <w:multiLevelType w:val="multilevel"/>
    <w:tmpl w:val="36C0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21B6A"/>
    <w:multiLevelType w:val="multilevel"/>
    <w:tmpl w:val="CA1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33084"/>
    <w:multiLevelType w:val="multilevel"/>
    <w:tmpl w:val="0F4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B279F7"/>
    <w:multiLevelType w:val="hybridMultilevel"/>
    <w:tmpl w:val="F18C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6"/>
  </w:num>
  <w:num w:numId="4">
    <w:abstractNumId w:val="8"/>
  </w:num>
  <w:num w:numId="5">
    <w:abstractNumId w:val="12"/>
  </w:num>
  <w:num w:numId="6">
    <w:abstractNumId w:val="13"/>
  </w:num>
  <w:num w:numId="7">
    <w:abstractNumId w:val="0"/>
  </w:num>
  <w:num w:numId="8">
    <w:abstractNumId w:val="4"/>
  </w:num>
  <w:num w:numId="9">
    <w:abstractNumId w:val="5"/>
  </w:num>
  <w:num w:numId="10">
    <w:abstractNumId w:val="3"/>
  </w:num>
  <w:num w:numId="11">
    <w:abstractNumId w:val="17"/>
  </w:num>
  <w:num w:numId="12">
    <w:abstractNumId w:val="14"/>
  </w:num>
  <w:num w:numId="13">
    <w:abstractNumId w:val="7"/>
  </w:num>
  <w:num w:numId="14">
    <w:abstractNumId w:val="11"/>
  </w:num>
  <w:num w:numId="15">
    <w:abstractNumId w:val="15"/>
  </w:num>
  <w:num w:numId="16">
    <w:abstractNumId w:val="9"/>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B4"/>
    <w:rsid w:val="002755B4"/>
    <w:rsid w:val="003A34E5"/>
    <w:rsid w:val="00402FDA"/>
    <w:rsid w:val="005175C9"/>
    <w:rsid w:val="00B403DE"/>
    <w:rsid w:val="00D4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3DE"/>
    <w:pPr>
      <w:ind w:left="720"/>
      <w:contextualSpacing/>
    </w:pPr>
  </w:style>
  <w:style w:type="paragraph" w:styleId="a4">
    <w:name w:val="Normal (Web)"/>
    <w:basedOn w:val="a"/>
    <w:uiPriority w:val="99"/>
    <w:semiHidden/>
    <w:unhideWhenUsed/>
    <w:rsid w:val="00B403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3DE"/>
    <w:pPr>
      <w:ind w:left="720"/>
      <w:contextualSpacing/>
    </w:pPr>
  </w:style>
  <w:style w:type="paragraph" w:styleId="a4">
    <w:name w:val="Normal (Web)"/>
    <w:basedOn w:val="a"/>
    <w:uiPriority w:val="99"/>
    <w:semiHidden/>
    <w:unhideWhenUsed/>
    <w:rsid w:val="00B403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175">
      <w:bodyDiv w:val="1"/>
      <w:marLeft w:val="0"/>
      <w:marRight w:val="0"/>
      <w:marTop w:val="0"/>
      <w:marBottom w:val="0"/>
      <w:divBdr>
        <w:top w:val="none" w:sz="0" w:space="0" w:color="auto"/>
        <w:left w:val="none" w:sz="0" w:space="0" w:color="auto"/>
        <w:bottom w:val="none" w:sz="0" w:space="0" w:color="auto"/>
        <w:right w:val="none" w:sz="0" w:space="0" w:color="auto"/>
      </w:divBdr>
      <w:divsChild>
        <w:div w:id="417361627">
          <w:marLeft w:val="0"/>
          <w:marRight w:val="0"/>
          <w:marTop w:val="0"/>
          <w:marBottom w:val="0"/>
          <w:divBdr>
            <w:top w:val="none" w:sz="0" w:space="0" w:color="auto"/>
            <w:left w:val="none" w:sz="0" w:space="0" w:color="auto"/>
            <w:bottom w:val="none" w:sz="0" w:space="0" w:color="auto"/>
            <w:right w:val="none" w:sz="0" w:space="0" w:color="auto"/>
          </w:divBdr>
          <w:divsChild>
            <w:div w:id="13546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4454">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277560674">
      <w:bodyDiv w:val="1"/>
      <w:marLeft w:val="0"/>
      <w:marRight w:val="0"/>
      <w:marTop w:val="0"/>
      <w:marBottom w:val="0"/>
      <w:divBdr>
        <w:top w:val="none" w:sz="0" w:space="0" w:color="auto"/>
        <w:left w:val="none" w:sz="0" w:space="0" w:color="auto"/>
        <w:bottom w:val="none" w:sz="0" w:space="0" w:color="auto"/>
        <w:right w:val="none" w:sz="0" w:space="0" w:color="auto"/>
      </w:divBdr>
      <w:divsChild>
        <w:div w:id="1339385512">
          <w:blockQuote w:val="1"/>
          <w:marLeft w:val="0"/>
          <w:marRight w:val="0"/>
          <w:marTop w:val="405"/>
          <w:marBottom w:val="405"/>
          <w:divBdr>
            <w:top w:val="none" w:sz="0" w:space="0" w:color="auto"/>
            <w:left w:val="none" w:sz="0" w:space="0" w:color="auto"/>
            <w:bottom w:val="none" w:sz="0" w:space="0" w:color="auto"/>
            <w:right w:val="none" w:sz="0" w:space="0" w:color="auto"/>
          </w:divBdr>
        </w:div>
        <w:div w:id="989554267">
          <w:marLeft w:val="0"/>
          <w:marRight w:val="0"/>
          <w:marTop w:val="0"/>
          <w:marBottom w:val="0"/>
          <w:divBdr>
            <w:top w:val="none" w:sz="0" w:space="0" w:color="auto"/>
            <w:left w:val="none" w:sz="0" w:space="0" w:color="auto"/>
            <w:bottom w:val="none" w:sz="0" w:space="0" w:color="auto"/>
            <w:right w:val="none" w:sz="0" w:space="0" w:color="auto"/>
          </w:divBdr>
          <w:divsChild>
            <w:div w:id="1917129130">
              <w:marLeft w:val="0"/>
              <w:marRight w:val="0"/>
              <w:marTop w:val="0"/>
              <w:marBottom w:val="0"/>
              <w:divBdr>
                <w:top w:val="none" w:sz="0" w:space="0" w:color="auto"/>
                <w:left w:val="none" w:sz="0" w:space="0" w:color="auto"/>
                <w:bottom w:val="none" w:sz="0" w:space="0" w:color="auto"/>
                <w:right w:val="none" w:sz="0" w:space="0" w:color="auto"/>
              </w:divBdr>
            </w:div>
            <w:div w:id="692655330">
              <w:marLeft w:val="0"/>
              <w:marRight w:val="0"/>
              <w:marTop w:val="0"/>
              <w:marBottom w:val="0"/>
              <w:divBdr>
                <w:top w:val="none" w:sz="0" w:space="0" w:color="auto"/>
                <w:left w:val="none" w:sz="0" w:space="0" w:color="auto"/>
                <w:bottom w:val="none" w:sz="0" w:space="0" w:color="auto"/>
                <w:right w:val="none" w:sz="0" w:space="0" w:color="auto"/>
              </w:divBdr>
              <w:divsChild>
                <w:div w:id="5709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8170">
      <w:bodyDiv w:val="1"/>
      <w:marLeft w:val="0"/>
      <w:marRight w:val="0"/>
      <w:marTop w:val="0"/>
      <w:marBottom w:val="0"/>
      <w:divBdr>
        <w:top w:val="none" w:sz="0" w:space="0" w:color="auto"/>
        <w:left w:val="none" w:sz="0" w:space="0" w:color="auto"/>
        <w:bottom w:val="none" w:sz="0" w:space="0" w:color="auto"/>
        <w:right w:val="none" w:sz="0" w:space="0" w:color="auto"/>
      </w:divBdr>
    </w:div>
    <w:div w:id="1688828302">
      <w:bodyDiv w:val="1"/>
      <w:marLeft w:val="0"/>
      <w:marRight w:val="0"/>
      <w:marTop w:val="0"/>
      <w:marBottom w:val="0"/>
      <w:divBdr>
        <w:top w:val="none" w:sz="0" w:space="0" w:color="auto"/>
        <w:left w:val="none" w:sz="0" w:space="0" w:color="auto"/>
        <w:bottom w:val="none" w:sz="0" w:space="0" w:color="auto"/>
        <w:right w:val="none" w:sz="0" w:space="0" w:color="auto"/>
      </w:divBdr>
      <w:divsChild>
        <w:div w:id="1347974410">
          <w:marLeft w:val="0"/>
          <w:marRight w:val="0"/>
          <w:marTop w:val="0"/>
          <w:marBottom w:val="0"/>
          <w:divBdr>
            <w:top w:val="none" w:sz="0" w:space="0" w:color="auto"/>
            <w:left w:val="none" w:sz="0" w:space="0" w:color="auto"/>
            <w:bottom w:val="none" w:sz="0" w:space="0" w:color="auto"/>
            <w:right w:val="none" w:sz="0" w:space="0" w:color="auto"/>
          </w:divBdr>
          <w:divsChild>
            <w:div w:id="981348009">
              <w:marLeft w:val="0"/>
              <w:marRight w:val="0"/>
              <w:marTop w:val="0"/>
              <w:marBottom w:val="0"/>
              <w:divBdr>
                <w:top w:val="none" w:sz="0" w:space="0" w:color="auto"/>
                <w:left w:val="none" w:sz="0" w:space="0" w:color="auto"/>
                <w:bottom w:val="none" w:sz="0" w:space="0" w:color="auto"/>
                <w:right w:val="none" w:sz="0" w:space="0" w:color="auto"/>
              </w:divBdr>
            </w:div>
            <w:div w:id="1374617779">
              <w:marLeft w:val="0"/>
              <w:marRight w:val="0"/>
              <w:marTop w:val="0"/>
              <w:marBottom w:val="0"/>
              <w:divBdr>
                <w:top w:val="none" w:sz="0" w:space="0" w:color="auto"/>
                <w:left w:val="none" w:sz="0" w:space="0" w:color="auto"/>
                <w:bottom w:val="none" w:sz="0" w:space="0" w:color="auto"/>
                <w:right w:val="none" w:sz="0" w:space="0" w:color="auto"/>
              </w:divBdr>
              <w:divsChild>
                <w:div w:id="733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565">
          <w:marLeft w:val="0"/>
          <w:marRight w:val="0"/>
          <w:marTop w:val="0"/>
          <w:marBottom w:val="0"/>
          <w:divBdr>
            <w:top w:val="none" w:sz="0" w:space="0" w:color="auto"/>
            <w:left w:val="none" w:sz="0" w:space="0" w:color="auto"/>
            <w:bottom w:val="none" w:sz="0" w:space="0" w:color="auto"/>
            <w:right w:val="none" w:sz="0" w:space="0" w:color="auto"/>
          </w:divBdr>
          <w:divsChild>
            <w:div w:id="846405298">
              <w:marLeft w:val="0"/>
              <w:marRight w:val="0"/>
              <w:marTop w:val="0"/>
              <w:marBottom w:val="0"/>
              <w:divBdr>
                <w:top w:val="none" w:sz="0" w:space="0" w:color="auto"/>
                <w:left w:val="none" w:sz="0" w:space="0" w:color="auto"/>
                <w:bottom w:val="none" w:sz="0" w:space="0" w:color="auto"/>
                <w:right w:val="none" w:sz="0" w:space="0" w:color="auto"/>
              </w:divBdr>
            </w:div>
            <w:div w:id="2002268305">
              <w:marLeft w:val="0"/>
              <w:marRight w:val="0"/>
              <w:marTop w:val="0"/>
              <w:marBottom w:val="0"/>
              <w:divBdr>
                <w:top w:val="none" w:sz="0" w:space="0" w:color="auto"/>
                <w:left w:val="none" w:sz="0" w:space="0" w:color="auto"/>
                <w:bottom w:val="none" w:sz="0" w:space="0" w:color="auto"/>
                <w:right w:val="none" w:sz="0" w:space="0" w:color="auto"/>
              </w:divBdr>
              <w:divsChild>
                <w:div w:id="5537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415">
          <w:marLeft w:val="0"/>
          <w:marRight w:val="0"/>
          <w:marTop w:val="0"/>
          <w:marBottom w:val="0"/>
          <w:divBdr>
            <w:top w:val="none" w:sz="0" w:space="0" w:color="auto"/>
            <w:left w:val="none" w:sz="0" w:space="0" w:color="auto"/>
            <w:bottom w:val="none" w:sz="0" w:space="0" w:color="auto"/>
            <w:right w:val="none" w:sz="0" w:space="0" w:color="auto"/>
          </w:divBdr>
          <w:divsChild>
            <w:div w:id="1187712891">
              <w:marLeft w:val="0"/>
              <w:marRight w:val="0"/>
              <w:marTop w:val="0"/>
              <w:marBottom w:val="0"/>
              <w:divBdr>
                <w:top w:val="none" w:sz="0" w:space="0" w:color="auto"/>
                <w:left w:val="none" w:sz="0" w:space="0" w:color="auto"/>
                <w:bottom w:val="none" w:sz="0" w:space="0" w:color="auto"/>
                <w:right w:val="none" w:sz="0" w:space="0" w:color="auto"/>
              </w:divBdr>
            </w:div>
            <w:div w:id="39785168">
              <w:marLeft w:val="0"/>
              <w:marRight w:val="0"/>
              <w:marTop w:val="0"/>
              <w:marBottom w:val="0"/>
              <w:divBdr>
                <w:top w:val="none" w:sz="0" w:space="0" w:color="auto"/>
                <w:left w:val="none" w:sz="0" w:space="0" w:color="auto"/>
                <w:bottom w:val="none" w:sz="0" w:space="0" w:color="auto"/>
                <w:right w:val="none" w:sz="0" w:space="0" w:color="auto"/>
              </w:divBdr>
              <w:divsChild>
                <w:div w:id="17283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8192">
          <w:marLeft w:val="0"/>
          <w:marRight w:val="0"/>
          <w:marTop w:val="0"/>
          <w:marBottom w:val="0"/>
          <w:divBdr>
            <w:top w:val="none" w:sz="0" w:space="0" w:color="auto"/>
            <w:left w:val="none" w:sz="0" w:space="0" w:color="auto"/>
            <w:bottom w:val="none" w:sz="0" w:space="0" w:color="auto"/>
            <w:right w:val="none" w:sz="0" w:space="0" w:color="auto"/>
          </w:divBdr>
          <w:divsChild>
            <w:div w:id="10394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1004">
      <w:bodyDiv w:val="1"/>
      <w:marLeft w:val="0"/>
      <w:marRight w:val="0"/>
      <w:marTop w:val="0"/>
      <w:marBottom w:val="0"/>
      <w:divBdr>
        <w:top w:val="none" w:sz="0" w:space="0" w:color="auto"/>
        <w:left w:val="none" w:sz="0" w:space="0" w:color="auto"/>
        <w:bottom w:val="none" w:sz="0" w:space="0" w:color="auto"/>
        <w:right w:val="none" w:sz="0" w:space="0" w:color="auto"/>
      </w:divBdr>
    </w:div>
    <w:div w:id="1797794765">
      <w:bodyDiv w:val="1"/>
      <w:marLeft w:val="0"/>
      <w:marRight w:val="0"/>
      <w:marTop w:val="0"/>
      <w:marBottom w:val="0"/>
      <w:divBdr>
        <w:top w:val="none" w:sz="0" w:space="0" w:color="auto"/>
        <w:left w:val="none" w:sz="0" w:space="0" w:color="auto"/>
        <w:bottom w:val="none" w:sz="0" w:space="0" w:color="auto"/>
        <w:right w:val="none" w:sz="0" w:space="0" w:color="auto"/>
      </w:divBdr>
    </w:div>
    <w:div w:id="1846019786">
      <w:bodyDiv w:val="1"/>
      <w:marLeft w:val="0"/>
      <w:marRight w:val="0"/>
      <w:marTop w:val="0"/>
      <w:marBottom w:val="0"/>
      <w:divBdr>
        <w:top w:val="none" w:sz="0" w:space="0" w:color="auto"/>
        <w:left w:val="none" w:sz="0" w:space="0" w:color="auto"/>
        <w:bottom w:val="none" w:sz="0" w:space="0" w:color="auto"/>
        <w:right w:val="none" w:sz="0" w:space="0" w:color="auto"/>
      </w:divBdr>
    </w:div>
    <w:div w:id="1961913489">
      <w:bodyDiv w:val="1"/>
      <w:marLeft w:val="0"/>
      <w:marRight w:val="0"/>
      <w:marTop w:val="0"/>
      <w:marBottom w:val="0"/>
      <w:divBdr>
        <w:top w:val="none" w:sz="0" w:space="0" w:color="auto"/>
        <w:left w:val="none" w:sz="0" w:space="0" w:color="auto"/>
        <w:bottom w:val="none" w:sz="0" w:space="0" w:color="auto"/>
        <w:right w:val="none" w:sz="0" w:space="0" w:color="auto"/>
      </w:divBdr>
      <w:divsChild>
        <w:div w:id="916749520">
          <w:marLeft w:val="0"/>
          <w:marRight w:val="0"/>
          <w:marTop w:val="0"/>
          <w:marBottom w:val="0"/>
          <w:divBdr>
            <w:top w:val="none" w:sz="0" w:space="0" w:color="auto"/>
            <w:left w:val="none" w:sz="0" w:space="0" w:color="auto"/>
            <w:bottom w:val="none" w:sz="0" w:space="0" w:color="auto"/>
            <w:right w:val="none" w:sz="0" w:space="0" w:color="auto"/>
          </w:divBdr>
          <w:divsChild>
            <w:div w:id="125583653">
              <w:marLeft w:val="0"/>
              <w:marRight w:val="0"/>
              <w:marTop w:val="0"/>
              <w:marBottom w:val="0"/>
              <w:divBdr>
                <w:top w:val="none" w:sz="0" w:space="0" w:color="auto"/>
                <w:left w:val="none" w:sz="0" w:space="0" w:color="auto"/>
                <w:bottom w:val="none" w:sz="0" w:space="0" w:color="auto"/>
                <w:right w:val="none" w:sz="0" w:space="0" w:color="auto"/>
              </w:divBdr>
            </w:div>
            <w:div w:id="835801248">
              <w:marLeft w:val="0"/>
              <w:marRight w:val="0"/>
              <w:marTop w:val="0"/>
              <w:marBottom w:val="0"/>
              <w:divBdr>
                <w:top w:val="none" w:sz="0" w:space="0" w:color="auto"/>
                <w:left w:val="none" w:sz="0" w:space="0" w:color="auto"/>
                <w:bottom w:val="none" w:sz="0" w:space="0" w:color="auto"/>
                <w:right w:val="none" w:sz="0" w:space="0" w:color="auto"/>
              </w:divBdr>
              <w:divsChild>
                <w:div w:id="8352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nadz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6931</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Эмиль</cp:lastModifiedBy>
  <cp:revision>2</cp:revision>
  <dcterms:created xsi:type="dcterms:W3CDTF">2020-07-17T12:46:00Z</dcterms:created>
  <dcterms:modified xsi:type="dcterms:W3CDTF">2020-07-17T12:46:00Z</dcterms:modified>
</cp:coreProperties>
</file>